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書寫臺灣畫廊產業【未來的記憶】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480" w:lineRule="auto"/>
        <w:jc w:val="center"/>
        <w:rPr>
          <w:rFonts w:ascii="Times New Roman" w:cs="Times New Roman" w:eastAsia="Times New Roman" w:hAnsi="Times New Roman"/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《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2022台北藝術產經論壇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《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30週年特展區：未來的記憶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「台北藝術產經研究室」，是國內少數兼顧學術理論發展與藝術市場實證研究的機構。30年前(1992年)，社團法人中華民國畫廊協會與台北國際藝術博覽會相繼成立，把臺灣的視覺藝術市場機制推展至成熟的階段。30年後的今天，新型態的數位藝術交易機制崛起，新舊世代觀點彼此衝擊與碰撞，開創出相當多的契機，也存在諸多的風險。面對藝術市場的「未來」發展，必須用新的思維方式，重新思考過去的經驗、當前的現況以及推演未來的走向，以因應可能發生的重大變局。今年，我們以「明日的奠基」、「過去的未來」以及「世代觀點」等三個主軸，策畫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《2022台北藝術產經論壇》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與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《30週年特展區：未來的記憶》，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邀請藝術界、畫廊產業、出版界、學術研究，與加密藝術社群等領域的學者專家，一同探討未知的挑戰與未來的發展。</w:t>
          </w:r>
        </w:sdtContent>
      </w:sdt>
    </w:p>
    <w:p w:rsidR="00000000" w:rsidDel="00000000" w:rsidP="00000000" w:rsidRDefault="00000000" w:rsidRPr="00000000" w14:paraId="00000004">
      <w:pPr>
        <w:spacing w:after="120" w:before="120" w:line="480" w:lineRule="auto"/>
        <w:jc w:val="both"/>
        <w:rPr>
          <w:rFonts w:ascii="Times New Roman" w:cs="Times New Roman" w:eastAsia="Times New Roman" w:hAnsi="Times New Roman"/>
          <w:b w:val="1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新型態交易模式</w:t>
          </w:r>
        </w:sdtContent>
      </w:sdt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：</w:t>
      </w: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藝術經紀3.0</w:t>
          </w:r>
        </w:sdtContent>
      </w:sdt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我們目前正處於從文字轉向數位的變革階段，儘管當前的作為還是立基於「過去」的事物，然而時代的進展說明了去中心化、虛擬世界的社群網絡、物聯網、區塊聯、加密貨幣、NFT等成為日常存在的事實。觀看與理解世界的方法也已經有明顯地改變：「宏觀分析」（Macroanalysis），以及「社會網絡分析」（Social Network Analysis）是能快速且有效地幫助我們探討人、事、物在時、空中的分布，勾勒主要發展趨勢和重大變遷階段。因此，面對藝術市場的「未來」發展，必須有所省思、想像與預測，以因應可能發生的重大變局。</w:t>
          </w:r>
        </w:sdtContent>
      </w:sdt>
    </w:p>
    <w:p w:rsidR="00000000" w:rsidDel="00000000" w:rsidP="00000000" w:rsidRDefault="00000000" w:rsidRPr="00000000" w14:paraId="00000006">
      <w:pPr>
        <w:spacing w:after="120" w:before="120" w:line="480" w:lineRule="auto"/>
        <w:jc w:val="both"/>
        <w:rPr>
          <w:rFonts w:ascii="Times New Roman" w:cs="Times New Roman" w:eastAsia="Times New Roman" w:hAnsi="Times New Roman"/>
          <w:b w:val="1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30週年特展區：未來的記憶</w:t>
          </w:r>
        </w:sdtContent>
      </w:sdt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站在2022年回顧過去，上個世紀80年代，是臺灣自覺力量蓬勃發展的時代，也是台灣美術生態機制逐漸形成與現代化的關鍵年代。相對應當時快速起飛的科技經濟，與多樣的社會運動，具備現代性的藝術環境也隨之發生:海外的藝術家與學者帶回西方各種思想，國內內政熱烈進行出文化建設，推動三大美術館與地方文化中心相繼成立，商業畫廊如雨後春筍般地開設，藝文生態的機制形成，多種媒材的運用，本土的情感關懷與接收西方大膽創新的視野，加上空間的重新利用與詮釋，種種激盪與交互影響，帶動藝術家新的創作能量，藝術的形式更顯自由，社會對藝術的需求提高，畫廊產業做為推動這股美術發展熱潮，功不可沒。    </w:t>
          </w:r>
        </w:sdtContent>
      </w:sdt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為了呈現八十年代台灣美術生態發展與畫廊產業之間關係，本特展區利用年表、文件、影像與藝術品，讓觀者探索與體會八十年代台灣美術與當代的關聯。展區主要分成三部分：《八十年代台灣畫廊產業的興起與台灣美術發展的關係》，讓文件說話，透過5大議題「藝術與企業的結合」、「官方與民間的合作」、「藝術拍賣的崛起」、「海外華人藝術家對台灣藝術界的影響」，以及「版畫的影響力」等，從中爬梳相關事件，把畫廊產業發展的記憶呈現在觀者面前。另一個部分則是以影像解說的方式，介紹畫廊協會的起始、經過與發展，同時也與觀眾分享「台北藝術產經研究室」的歷年重要工作成果，包含「台灣畫廊產業史料庫」的建置歷程與說明應用方式。</w:t>
          </w:r>
        </w:sdtContent>
      </w:sdt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展區最獨特的亮點，就是從眾多代表性藝術作品裡，選出一幅作品，不僅能代表八十年代台灣美術界社會網絡、畫廊經紀型態，同時享譽國際藝壇的藝術家，而且其創作風格能融入當代藝術領域。</w:t>
          </w:r>
        </w:sdtContent>
      </w:sdt>
    </w:p>
    <w:p w:rsidR="00000000" w:rsidDel="00000000" w:rsidP="00000000" w:rsidRDefault="00000000" w:rsidRPr="00000000" w14:paraId="0000000A">
      <w:pPr>
        <w:spacing w:after="120" w:before="120" w:line="480" w:lineRule="auto"/>
        <w:jc w:val="both"/>
        <w:rPr>
          <w:rFonts w:ascii="Times New Roman" w:cs="Times New Roman" w:eastAsia="Times New Roman" w:hAnsi="Times New Roman"/>
          <w:b w:val="1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《2022台北藝術產經論壇》</w:t>
          </w:r>
        </w:sdtContent>
      </w:sdt>
    </w:p>
    <w:p w:rsidR="00000000" w:rsidDel="00000000" w:rsidP="00000000" w:rsidRDefault="00000000" w:rsidRPr="00000000" w14:paraId="0000000B">
      <w:pPr>
        <w:spacing w:line="480" w:lineRule="auto"/>
        <w:ind w:firstLine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2020年後，全球藝術市場趨勢與走向有以下幾種特徵：全球經濟結構改變，大量新的買家進入藝術市場，資訊的獲得與應用是重要的關鍵，新形態的藝術品交易方式興起(區塊鍊+NFT)，市場區隔更為明顯，名流持續引導市場需求，藝術家年輕化等。出生於科技起飛年頭的Y世代與首批數位原生族群的Z世代，是活躍在當代藝術市場的主角，數位世代的年輕人，觀點、作風與對藝術的看法，與戰後嬰兒潮世代(擁有雄厚的經濟實力)，以及中生代領袖的X世代，大異其趣，他們之間會有什麼樣的碰撞?尤其當加密藝術社群帶動的新形態NFT與區塊鍊交易模式，是當今媒體界與藝術界的寵兒，在此浪潮下，傳統的畫廊產業與藝術市場會面臨何種衝擊? 是否藝術市場的中介與經紀模式將會改變?</w:t>
      </w:r>
    </w:p>
    <w:p w:rsidR="00000000" w:rsidDel="00000000" w:rsidP="00000000" w:rsidRDefault="00000000" w:rsidRPr="00000000" w14:paraId="0000000C">
      <w:pPr>
        <w:spacing w:line="480" w:lineRule="auto"/>
        <w:ind w:firstLine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firstLine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firstLine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firstLine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為了回答上述問題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今年論壇推出三場議題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分別為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場次一、Web3.0競爭or競合? 加密世界的藝術活動方式 &amp; 2020後的藝術市場趨勢及畫廊的轉向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2021年NFT風光無限，Crypto Art也隨之火紅，繼新媒體藝術、科技藝術之後，藝術界開始出現琳瑯滿目的各類數位藝術作品，與此同時，也產生一窩蜂發行NFT現象，因應而生的是數位(加密)藝術交易市場，這是一種有別於傳統藝術市場機制的交易形式:透過區塊鍊、加密技術、NFT，以及社群網絡的流通，自成一格，很明顯地區隔了目前既有的藝術界，這些發展是否會改變新媒體藝術與數位藝術的「藝術性」認定? 以及對藝術市場結構會產生什麼樣的衝擊與影響?是首場論壇的核心。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場次二、跨世代的觀點與對話：演繹藝術與市場未來走向的趨勢，從購藏與投資談起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自20世紀末以來，藝術市場顯著擴大並且遍布全球，特別是當代藝術市場的快速增長，主要來自藝術買家所推動，不難理解，當代藝術的購藏動機，已經不止於藝術品愛好與收藏，還包含藝術品的增值(與投資) 。在話語多元的年代，數位技術成為主流的世紀，不同的世代對於藝術購藏的品味、藝術品的價值，觀點迥然有異，因此，本場次論壇試圖透過不同的世代進行理性對話，目的是能更深一層地理解整個當代藝術市場運作的模式，並探討未來發展的趨勢。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場次三、未來的記憶：新與舊的碰撞，臺灣美術界生成的機制與現代化歷程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上個世紀八十年代是台灣美術界發展的初始關鍵，臺北市立美術館的設立、高等專業藝術教育體制的形成、畫廊產業快速增長，不僅帶動臺灣現當代藝術的發展，同時也形成臺灣藝術生態的樣貌，為九十年代台灣藝術市場奠定堅固的基石；其中，台灣的美術相關產業對台灣美術現代化進程，具有哪些影響力，是本場次論壇的核心。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本次特展與論壇活動必須購買「台北國際藝術博覽會」門票才能入場，歡迎公立及民間藝文相關專業、藝術產業領域、藝術創作者、藝術收藏者，以及對藝文有興趣之大眾等踴躍參加，名額有限，敬請提早報名。本活動採線上報名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5"/>
            <w:szCs w:val="25"/>
            <w:highlight w:val="white"/>
            <w:rtl w:val="0"/>
          </w:rPr>
          <w:t xml:space="preserve">https://shp.icu/fXVw</w:t>
        </w:r>
      </w:hyperlink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highlight w:val="white"/>
              <w:rtl w:val="0"/>
            </w:rPr>
            <w:t xml:space="preserve">)，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自即日起至10月19日(五) 17時，額滿為止。更多活動資訊亦請鎖定「社團法人中華民國畫廊協會」與「台北藝術產經研究室」官網的最新公告。</w:t>
          </w:r>
        </w:sdtContent>
      </w:sdt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專案負責人</w:t>
          </w:r>
        </w:sdtContent>
      </w:sdt>
      <w:r w:rsidDel="00000000" w:rsidR="00000000" w:rsidRPr="00000000">
        <w:rPr>
          <w:rFonts w:ascii="PMingLiu" w:cs="PMingLiu" w:eastAsia="PMingLiu" w:hAnsi="PMingLiu"/>
          <w:rtl w:val="0"/>
        </w:rPr>
        <w:t xml:space="preserve">：</w:t>
      </w: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柯秀雯</w:t>
          </w:r>
        </w:sdtContent>
      </w:sdt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台北藝術產經研究室 副研究員</w:t>
          </w:r>
        </w:sdtContent>
      </w:sdt>
    </w:p>
    <w:p w:rsidR="00000000" w:rsidDel="00000000" w:rsidP="00000000" w:rsidRDefault="00000000" w:rsidRPr="00000000" w14:paraId="0000001C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10563 台北市松山區光復南路1號2樓之1</w:t>
          </w:r>
        </w:sdtContent>
      </w:sdt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florencekoster@gmail.com</w:t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Tel:+886-2-2742-3968 ext. 15</w:t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Fax:+886-2-2742-2088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PMingLiu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9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2919FC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29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2919FC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hp.icu/fXVw?fbclid=IwAR3HNAkamcm9i0Nq4Rc0v6TJpzSPTOjw6uikA3Zfvnz-NcOY2pmhqVB90U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J6DChkfOMeOwcaWzhzbMmRWCQ==">AMUW2mVpgniyPrC9Fz16uKNF0jiDKuWXN7/KtwCyZTpBtVwk5TmXW4jGNcP6bniylgXFBOHsREIAETA8ITHHmcWut0hxaA1ibS8IHAKGBPBJ/pW3VADr21fJq+yI8HFcf7m8vuPvuX26Menav4VSnlIeFrL4bO4u+rIXIoehixMDwHQ56k/h7Hg9hPptyLx7ALWL9UAjLy7vKEEsyw8Sq9mAlybZzXrlX68+PLkCcOS9D6iStrZFkyUi0rzrszzRwCbnJRLAv1Bekgr1muC8bIf2ZfAkziKYVxmq6uSy4gj3UPZGDub/o1DiBo22H3uwo4ErROYn32/aTLSnsbp0MTkN+SAv1UQYSzeJH2E2ri3ow1H3753ATO3sF+fQCQ/aZ6NRNhj2bHyZB9Ag7kH8kNx7jnPFqKhAkvTrR2X2TnkLVMAuzUz+qREnTPpYx9k5yJlqZK6vpJrBPEUPemM22o8bndhdJc4xUZ4h+IxgfQTOMmG+/rN3A/t6twCfFsiuuvzLLL194z4jebKGRT57d9Rbc1BkQZ28N1PUU38Fd6jKbUjezS6lWA3r5xt5fi8Ad9L8d6f4qGg3MqeqHpn0eTajMavNJ6faSr6KLD5GR0RCffX2+qAckFPqb/JOXEMNpPuy7/2PqhXIq3my6YhAXIlnKw/P62PDV79RH0NEjy/v0GUtL9e34voPOYBNbHXyZCgidWCuGKQvnkvbzHInuP8b8/Im6J8Nl+OnmIUqopnURvW6+93GjBDq8h/v/oNnahkoZoxg0o1XhksiPk+JTsAUzUezpWiAl8DaYbABEFoXmiFktpf8bqf84RRRSSk5NxejWPRZXE2NA7839fQADOI3ugc4aMGhARZEC9gAOMHJyDNmnsNu6ZHbaKhP/d7TOw001L6OeqHdzb0XrMYFF9ucLpEZQmP9t9i14SuX2l26PWnV37Si7AT6WpsVFOdJt7W+1fVNTSUfFsxvkKh26sN1bvY52VTdg9rZ6Xjx6caa04Wus28XvEtn1+U0bWISKaa1mvdSmp8ss4tBBrm1BdxrsTmp0CKQjqJEdfiOjVwWkm1u16Ojk2W8fhgWiQ74lLN79ShYuq0Tsya5rTzHx3mGMPUKkbjvdLCkFMJIfoGj9ehLo5WG/AJSMXsdluwGrgVOl/WG0l1+hg7zIu/pfQ8vlNW6fIXn8pPz+QvZ0Z3+242MrYoMFTYWvRetthaRNyvomy6RkEAHlvdkyAd47g/MiY8TgLzyRf/j8H1jdKQRKkI4l6eRBEVFTXjrMf7wzE8ly6WIodHjT0ejieB21M7atpgsPZ2lgSEQRVTf69+YewDQMMzJN5CqH7jYqQ5e5UqLbnPLJrjGs3UI0udD5t1ZfoXRlFLyhVcxH0uYfeGNkfGIE363CibBBMxoLH8Kaf74ZieMbV1HtqcNptPxCXTO27vuS1Svw11/HU3drXpm4pxjOSg0kafae6M0IdUJgZoB13QU1+B3DTOOFyMBOE+1maDG5ldNV7UzdMi8e7gUh4f+IU/8JerjZUMOwMSkH63zH1tEKF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2022-09-21T03:02:00Z</dcterms:created>
  <dc:creator>Microsoft 帳戶</dc:creator>
</cp:coreProperties>
</file>